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FC044F">
      <w:pPr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576AD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A4A0C" w:rsidP="0007054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16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07054B">
              <w:rPr>
                <w:rStyle w:val="SUBST"/>
                <w:sz w:val="20"/>
                <w:lang w:val="en-US"/>
              </w:rPr>
              <w:t>05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AA4A0C">
              <w:rPr>
                <w:rFonts w:eastAsia="Calibri"/>
                <w:b/>
                <w:i/>
              </w:rPr>
              <w:t>16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07054B">
              <w:rPr>
                <w:rFonts w:eastAsia="Calibri"/>
                <w:b/>
                <w:i/>
              </w:rPr>
              <w:t>мая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AA4A0C">
              <w:rPr>
                <w:rFonts w:eastAsia="Calibri"/>
                <w:b/>
                <w:i/>
              </w:rPr>
              <w:t>23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07054B">
              <w:rPr>
                <w:rFonts w:eastAsia="Calibri"/>
                <w:b/>
                <w:i/>
              </w:rPr>
              <w:t>мая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Pr="00AA4A0C">
              <w:rPr>
                <w:rFonts w:eastAsia="Calibri"/>
                <w:b/>
                <w:i/>
              </w:rPr>
              <w:t>Проведение годового заседания общего собрания акционеров Общества, голосование на котором совмещается с заочным голосованием.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AA4A0C">
              <w:rPr>
                <w:rFonts w:eastAsia="Calibri"/>
                <w:b/>
                <w:i/>
              </w:rPr>
              <w:t xml:space="preserve">Определение способа принятия решений общим собранием акционеров, даты и времени проведения заседания, а также даты окончания приема бюллетеней для голосования при заочном голосовании, места проведения заседания, адреса (почтового адреса), по которому могут направляться заполненные бюллетени для голосования. 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AA4A0C">
              <w:rPr>
                <w:rFonts w:eastAsia="Calibri"/>
                <w:b/>
                <w:i/>
              </w:rPr>
              <w:t xml:space="preserve">Утверждение </w:t>
            </w:r>
            <w:proofErr w:type="gramStart"/>
            <w:r w:rsidRPr="00AA4A0C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AA4A0C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 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AA4A0C">
              <w:rPr>
                <w:rFonts w:eastAsia="Calibri"/>
                <w:b/>
                <w:i/>
              </w:rPr>
              <w:t xml:space="preserve">Установление даты определения (фиксации) лиц, имеющих право голоса при принятии решений общим собранием акционеров Общества. 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AA4A0C">
              <w:rPr>
                <w:rFonts w:eastAsia="Calibri"/>
                <w:b/>
                <w:i/>
              </w:rPr>
              <w:t xml:space="preserve">Определение категорий (типов) акций, владельцы которых имеют право голоса по вопросам </w:t>
            </w:r>
            <w:proofErr w:type="gramStart"/>
            <w:r w:rsidRPr="00AA4A0C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AA4A0C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 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proofErr w:type="gramStart"/>
            <w:r w:rsidRPr="00AA4A0C">
              <w:rPr>
                <w:rFonts w:eastAsia="Calibri"/>
                <w:b/>
                <w:i/>
              </w:rPr>
              <w:t xml:space="preserve">Определение возможности (ее отсутствия) дистанционного участия (использования телекоммуникационных средств для обеспечения дистанционного доступа акционеров для участия) в заседании и порядка доступа к такому дистанционному участию, в том числе способов достоверного установления лиц, принимающих дистанционное участие в заседании, а также возможности присутствия в месте проведения заседания или проведения заседания без определения места его проведения. </w:t>
            </w:r>
            <w:proofErr w:type="gramEnd"/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r w:rsidRPr="00AA4A0C">
              <w:rPr>
                <w:rFonts w:eastAsia="Calibri"/>
                <w:b/>
                <w:i/>
              </w:rPr>
              <w:t xml:space="preserve">Определение порядка сообщения акционерам о проведении годового заседания общего собрания акционеров Общества, голосование на котором совмещается с заочным голосованием. 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Pr="00AA4A0C">
              <w:rPr>
                <w:rFonts w:eastAsia="Calibri"/>
                <w:b/>
                <w:i/>
              </w:rPr>
              <w:t xml:space="preserve">Определение порядка предоставления информации (материалов), предоставляемой акционерам при подготовке к проведению годового заседания общего собрания акционеров Общества, голосование на котором совмещается с заочным голосованием. 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9. </w:t>
            </w:r>
            <w:r w:rsidRPr="00AA4A0C">
              <w:rPr>
                <w:rFonts w:eastAsia="Calibri"/>
                <w:b/>
                <w:i/>
              </w:rPr>
              <w:t>Рассмотрение результатов оценки деятельности Совета директоров, его комитетов, Председателя и членов Совета директоров Общества.</w:t>
            </w:r>
          </w:p>
          <w:p w:rsidR="00AA4A0C" w:rsidRPr="00AA4A0C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10. </w:t>
            </w:r>
            <w:r w:rsidRPr="00AA4A0C">
              <w:rPr>
                <w:rFonts w:eastAsia="Calibri"/>
                <w:b/>
                <w:i/>
              </w:rPr>
              <w:t>Рассмотрение годовой бухгалтерской (финансовой) отчетности Общества за 2024 год, заключений ревизионной комиссии, внутреннего аудита, в том числе о результатах оценки надежности и эффективности системы управления рисками и внутреннего контроля, оценки информационной политики, практики корпоративного управления, включая информационное взаимодействие на всех уровнях управления Общества, а также с заинтересованными лицами.</w:t>
            </w:r>
          </w:p>
          <w:p w:rsidR="00AA4A0C" w:rsidRPr="0007054B" w:rsidRDefault="00AA4A0C" w:rsidP="00AA4A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11. </w:t>
            </w:r>
            <w:proofErr w:type="gramStart"/>
            <w:r w:rsidRPr="00AA4A0C">
              <w:rPr>
                <w:rFonts w:eastAsia="Calibri"/>
                <w:b/>
                <w:i/>
              </w:rPr>
              <w:t>Предварительное утверждение годового отчета Общества за 2024 год, включающего отчет Совета директоров и менеджмента, в том числе с информацией о ходе исполнения, критериях и показателях реализации стратегических, финансовых и бизнес-целей, задач и планов группы Общества согласно разработанной стратегии, а также включающего отчет о совершенных (заключенных) в 2024 отчетном году Обществом крупных сделках и сделках, в совершении которых имелась заинтересованность.</w:t>
            </w:r>
            <w:proofErr w:type="gramEnd"/>
          </w:p>
          <w:p w:rsidR="00634CC8" w:rsidRPr="009B7DF0" w:rsidRDefault="00AA4A0C" w:rsidP="000058CF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 xml:space="preserve">ее) регистрации (идентификационный номер выпуска (дополнительного выпуска) ценных бумаг и дата его присвоения), международный </w:t>
            </w:r>
            <w:r w:rsidRPr="000058CF">
              <w:rPr>
                <w:rFonts w:eastAsia="Calibri"/>
              </w:rPr>
              <w:lastRenderedPageBreak/>
              <w:t>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AA4A0C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AA4A0C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7054B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AD" w:rsidRDefault="002576AD">
      <w:r>
        <w:separator/>
      </w:r>
    </w:p>
  </w:endnote>
  <w:endnote w:type="continuationSeparator" w:id="0">
    <w:p w:rsidR="002576AD" w:rsidRDefault="0025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AD" w:rsidRDefault="002576AD">
      <w:r>
        <w:separator/>
      </w:r>
    </w:p>
  </w:footnote>
  <w:footnote w:type="continuationSeparator" w:id="0">
    <w:p w:rsidR="002576AD" w:rsidRDefault="0025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5824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2025-05-19T12:40:00Z</dcterms:created>
  <dcterms:modified xsi:type="dcterms:W3CDTF">2025-05-19T12:43:00Z</dcterms:modified>
</cp:coreProperties>
</file>